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Scholar Exchange: Second Amendment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57150</wp:posOffset>
            </wp:positionV>
            <wp:extent cx="930796" cy="930796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796" cy="930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color w:val="00206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52"/>
          <w:szCs w:val="52"/>
          <w:rtl w:val="0"/>
        </w:rPr>
        <w:t xml:space="preserve">Introductory Level </w:t>
        <w:br w:type="textWrapping"/>
        <w:t xml:space="preserve">Class Outline and Worksheet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color w:val="00206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70c0" w:space="1" w:sz="4" w:val="single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70c0"/>
          <w:rtl w:val="0"/>
        </w:rPr>
        <w:t xml:space="preserve">INTERACTIVE CONSTITUTION RESOURCES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Resources for the Second Amendment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70c0" w:space="1" w:sz="4" w:val="single"/>
        </w:pBdr>
        <w:spacing w:line="240" w:lineRule="auto"/>
        <w:rPr>
          <w:rFonts w:ascii="Calibri" w:cs="Calibri" w:eastAsia="Calibri" w:hAnsi="Calibri"/>
          <w:b w:val="1"/>
          <w:smallCaps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70c0" w:space="1" w:sz="4" w:val="single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70c0"/>
          <w:rtl w:val="0"/>
        </w:rPr>
        <w:t xml:space="preserve">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Part I. Opening Question and Introduction to the Text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Part II. Founding Era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Part III. Civil War and Reconstruction Era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Part IV. Modern Supreme Court Cases and Hypothetical Question</w:t>
      </w:r>
    </w:p>
    <w:p w:rsidR="00000000" w:rsidDel="00000000" w:rsidP="00000000" w:rsidRDefault="00000000" w:rsidRPr="00000000" w14:paraId="0000000F">
      <w:pPr>
        <w:pBdr>
          <w:bottom w:color="0070c0" w:space="1" w:sz="4" w:val="single"/>
        </w:pBdr>
        <w:spacing w:line="240" w:lineRule="auto"/>
        <w:rPr>
          <w:rFonts w:ascii="Calibri" w:cs="Calibri" w:eastAsia="Calibri" w:hAnsi="Calibri"/>
          <w:b w:val="1"/>
          <w:smallCaps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70c0" w:space="1" w:sz="4" w:val="single"/>
        </w:pBdr>
        <w:spacing w:line="240" w:lineRule="auto"/>
        <w:rPr>
          <w:rFonts w:ascii="Calibri" w:cs="Calibri" w:eastAsia="Calibri" w:hAnsi="Calibri"/>
          <w:b w:val="1"/>
          <w:smallCaps w:val="1"/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70c0"/>
          <w:rtl w:val="0"/>
        </w:rPr>
        <w:t xml:space="preserve">BIG QUESTION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Why did the Founding generation enshrine the Second Amendment in the Bill of Rights?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was the Founding-era vision of the Second Amendment, and how did America’s “Second Founding”—and the ratification of the Fourteenth Amendment after the Civil War—shape the Second Amendment’s meaning?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has the Supreme Court interpreted the Second Amendment over time?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Today, when can the government limit the individual right to possess guns and other firearms—and when can’t it?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areas of constitutional debate over the Second Amendment today?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70c0" w:space="1" w:sz="4" w:val="single"/>
        </w:pBdr>
        <w:spacing w:line="24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Part One: Opening Question and Introduction to the Text</w:t>
      </w:r>
    </w:p>
    <w:tbl>
      <w:tblPr>
        <w:tblStyle w:val="Table1"/>
        <w:tblW w:w="107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rHeight w:val="386.796874999999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rtl w:val="0"/>
              </w:rPr>
              <w:t xml:space="preserve">What is the big idea of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u w:val="single"/>
                <w:rtl w:val="0"/>
              </w:rPr>
              <w:t xml:space="preserve">first part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rtl w:val="0"/>
              </w:rPr>
              <w:t xml:space="preserve"> of this Amendment, relating to Militia and State?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 </w:t>
            </w:r>
          </w:p>
        </w:tc>
      </w:tr>
      <w:tr>
        <w:trPr>
          <w:cantSplit w:val="0"/>
          <w:trHeight w:val="773.59374999999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rtl w:val="0"/>
              </w:rPr>
              <w:t xml:space="preserve">What is the big idea of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u w:val="single"/>
                <w:rtl w:val="0"/>
              </w:rPr>
              <w:t xml:space="preserve">second part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rtl w:val="0"/>
              </w:rPr>
              <w:t xml:space="preserve"> of this Amendment, relating to the “right of the people”?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spacing w:after="0" w:before="0" w:line="24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Part Two: Founding Era Stories </w:t>
      </w:r>
      <w:r w:rsidDel="00000000" w:rsidR="00000000" w:rsidRPr="00000000">
        <w:rPr>
          <w:rFonts w:ascii="Calibri" w:cs="Calibri" w:eastAsia="Calibri" w:hAnsi="Calibri"/>
          <w:color w:val="00206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rtl w:val="0"/>
              </w:rPr>
              <w:t xml:space="preserve">What was one Founding-era concern that the Framers had in mind during the Constitutional Convention?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bf6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rtl w:val="0"/>
              </w:rPr>
              <w:t xml:space="preserve">Why was this a concern for the Framers?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="24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Part Three: Civil War and Reconstruction Era Founding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bf6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color w:val="002060"/>
                <w:sz w:val="38"/>
                <w:szCs w:val="3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rtl w:val="0"/>
              </w:rPr>
              <w:t xml:space="preserve">What were some ways that the Civil War and Reconstruction transformed debates over the Second Amendment?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Part Four: Modern Supreme Court Cases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Complete the chart with information about one of the modern Second Amendment cases.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2060"/>
          <w:sz w:val="28"/>
          <w:szCs w:val="28"/>
          <w:rtl w:val="0"/>
        </w:rPr>
        <w:t xml:space="preserve">District of Columbia v. Heller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(2008) and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2060"/>
          <w:sz w:val="28"/>
          <w:szCs w:val="28"/>
          <w:rtl w:val="0"/>
        </w:rPr>
        <w:t xml:space="preserve">McDonald v. City of Chicago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(2010)</w:t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Calibri" w:cs="Calibri" w:eastAsia="Calibri" w:hAnsi="Calibri"/>
          <w:b w:val="1"/>
          <w:i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70"/>
        <w:gridCol w:w="3570"/>
        <w:gridCol w:w="3570"/>
        <w:tblGridChange w:id="0">
          <w:tblGrid>
            <w:gridCol w:w="3570"/>
            <w:gridCol w:w="3570"/>
            <w:gridCol w:w="357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right="-150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Court Case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right="-80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What was the question?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right="-80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How did the Court rule?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right="720"/>
              <w:rPr>
                <w:rFonts w:ascii="Calibri" w:cs="Calibri" w:eastAsia="Calibri" w:hAnsi="Calibri"/>
                <w:b w:val="1"/>
                <w:i w:val="1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right="720"/>
              <w:rPr>
                <w:rFonts w:ascii="Calibri" w:cs="Calibri" w:eastAsia="Calibri" w:hAnsi="Calibri"/>
                <w:b w:val="1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ind w:right="720"/>
              <w:rPr>
                <w:rFonts w:ascii="Calibri" w:cs="Calibri" w:eastAsia="Calibri" w:hAnsi="Calibri"/>
                <w:b w:val="1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ind w:right="720"/>
              <w:rPr>
                <w:rFonts w:ascii="Calibri" w:cs="Calibri" w:eastAsia="Calibri" w:hAnsi="Calibri"/>
                <w:b w:val="1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right="720"/>
              <w:rPr>
                <w:rFonts w:ascii="Calibri" w:cs="Calibri" w:eastAsia="Calibri" w:hAnsi="Calibri"/>
                <w:b w:val="1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ind w:right="720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Notes and Questions: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4680"/>
        <w:tab w:val="right" w:pos="9360"/>
      </w:tabs>
      <w:spacing w:line="240" w:lineRule="auto"/>
      <w:jc w:val="right"/>
      <w:rPr>
        <w:rFonts w:ascii="Calibri" w:cs="Calibri" w:eastAsia="Calibri" w:hAnsi="Calibri"/>
        <w:b w:val="1"/>
        <w:color w:val="00206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2060"/>
        <w:sz w:val="24"/>
        <w:szCs w:val="24"/>
        <w:rtl w:val="0"/>
      </w:rPr>
      <w:t xml:space="preserve">Scholar Exchange: Second Amendment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104777</wp:posOffset>
          </wp:positionH>
          <wp:positionV relativeFrom="paragraph">
            <wp:posOffset>-71118</wp:posOffset>
          </wp:positionV>
          <wp:extent cx="2240280" cy="5727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0280" cy="572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spacing w:line="240" w:lineRule="auto"/>
      <w:jc w:val="right"/>
      <w:rPr>
        <w:rFonts w:ascii="Calibri" w:cs="Calibri" w:eastAsia="Calibri" w:hAnsi="Calibri"/>
        <w:b w:val="1"/>
        <w:color w:val="002060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color w:val="002060"/>
        <w:sz w:val="24"/>
        <w:szCs w:val="24"/>
        <w:rtl w:val="0"/>
      </w:rPr>
      <w:t xml:space="preserve">Introductory Level Outline and Worksheet</w:t>
    </w:r>
  </w:p>
  <w:p w:rsidR="00000000" w:rsidDel="00000000" w:rsidP="00000000" w:rsidRDefault="00000000" w:rsidRPr="00000000" w14:paraId="0000003D">
    <w:pPr>
      <w:spacing w:line="240" w:lineRule="auto"/>
      <w:jc w:val="right"/>
      <w:rPr>
        <w:rFonts w:ascii="Calibri" w:cs="Calibri" w:eastAsia="Calibri" w:hAnsi="Calibri"/>
        <w:b w:val="1"/>
        <w:smallCaps w:val="1"/>
        <w:color w:val="0070c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constitutioncenter.org/interactive-constitution/big-question/second-amendmen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