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40"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HISTORY OF THE SUPREME COURT </w:t>
            </w:r>
          </w:p>
        </w:tc>
      </w:tr>
    </w:tbl>
    <w:p w:rsidR="00000000" w:rsidDel="00000000" w:rsidP="00000000" w:rsidRDefault="00000000" w:rsidRPr="00000000" w14:paraId="00000003">
      <w:pP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In this activity, you will learn about the history of the Supreme Court.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Watch the </w:t>
      </w:r>
      <w:hyperlink r:id="rId7">
        <w:r w:rsidDel="00000000" w:rsidR="00000000" w:rsidRPr="00000000">
          <w:rPr>
            <w:rFonts w:ascii="Arial" w:cs="Arial" w:eastAsia="Arial" w:hAnsi="Arial"/>
            <w:color w:val="1155cc"/>
            <w:u w:val="single"/>
            <w:rtl w:val="0"/>
          </w:rPr>
          <w:t xml:space="preserve">video</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and complete the worksheet to help organize the information about Article III. </w:t>
      </w: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bookmarkStart w:colFirst="0" w:colLast="0" w:name="_heading=h.spj5z41rrrns" w:id="1"/>
      <w:bookmarkEnd w:id="1"/>
      <w:r w:rsidDel="00000000" w:rsidR="00000000" w:rsidRPr="00000000">
        <w:rPr>
          <w:rtl w:val="0"/>
        </w:rPr>
      </w:r>
    </w:p>
    <w:tbl>
      <w:tblPr>
        <w:tblStyle w:val="Table2"/>
        <w:tblW w:w="9350.0" w:type="dxa"/>
        <w:jc w:val="left"/>
        <w:tblInd w:w="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9350"/>
        <w:tblGridChange w:id="0">
          <w:tblGrid>
            <w:gridCol w:w="9350"/>
          </w:tblGrid>
        </w:tblGridChange>
      </w:tblGrid>
      <w:tr>
        <w:trPr>
          <w:cantSplit w:val="0"/>
          <w:trHeight w:val="431.99999999999994" w:hRule="atLeast"/>
          <w:tblHeader w:val="0"/>
        </w:trPr>
        <w:tc>
          <w:tcPr>
            <w:shd w:fill="f3f3f3" w:val="clear"/>
            <w:vAlign w:val="center"/>
          </w:tcPr>
          <w:p w:rsidR="00000000" w:rsidDel="00000000" w:rsidP="00000000" w:rsidRDefault="00000000" w:rsidRPr="00000000" w14:paraId="00000009">
            <w:pPr>
              <w:spacing w:line="252.00000000000003" w:lineRule="auto"/>
              <w:jc w:val="center"/>
              <w:rPr>
                <w:rFonts w:ascii="Arial" w:cs="Arial" w:eastAsia="Arial" w:hAnsi="Arial"/>
                <w:color w:val="002169"/>
              </w:rPr>
            </w:pPr>
            <w:bookmarkStart w:colFirst="0" w:colLast="0" w:name="_heading=h.spj5z41rrrns" w:id="1"/>
            <w:bookmarkEnd w:id="1"/>
            <w:r w:rsidDel="00000000" w:rsidR="00000000" w:rsidRPr="00000000">
              <w:rPr>
                <w:rFonts w:ascii="Arial" w:cs="Arial" w:eastAsia="Arial" w:hAnsi="Arial"/>
                <w:color w:val="002169"/>
                <w:rtl w:val="0"/>
              </w:rPr>
              <w:t xml:space="preserve">Article III </w:t>
            </w:r>
          </w:p>
        </w:tc>
      </w:tr>
      <w:tr>
        <w:trPr>
          <w:cantSplit w:val="0"/>
          <w:trHeight w:val="576" w:hRule="atLeast"/>
          <w:tblHeader w:val="0"/>
        </w:trPr>
        <w:tc>
          <w:tcPr>
            <w:shd w:fill="f3f3f3" w:val="cle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What are some details about the Supreme Court and federal courts that are established in Article III?</w:t>
            </w:r>
          </w:p>
        </w:tc>
      </w:tr>
      <w:tr>
        <w:trPr>
          <w:cantSplit w:val="0"/>
          <w:trHeight w:val="1800" w:hRule="atLeast"/>
          <w:tblHeader w:val="0"/>
        </w:trPr>
        <w:tc>
          <w:tcPr/>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tl w:val="0"/>
              </w:rPr>
            </w:r>
          </w:p>
        </w:tc>
      </w:tr>
      <w:tr>
        <w:trPr>
          <w:cantSplit w:val="0"/>
          <w:trHeight w:val="576" w:hRule="atLeast"/>
          <w:tblHeader w:val="0"/>
        </w:trPr>
        <w:tc>
          <w:tcPr>
            <w:shd w:fill="f3f3f3" w:val="cle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What is left to Congress and historical practice?</w:t>
            </w:r>
          </w:p>
        </w:tc>
      </w:tr>
      <w:tr>
        <w:trPr>
          <w:cantSplit w:val="0"/>
          <w:trHeight w:val="1800" w:hRule="atLeast"/>
          <w:tblHeader w:val="0"/>
        </w:trPr>
        <w:tc>
          <w:tcPr/>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0E">
      <w:pPr>
        <w:spacing w:after="0" w:lineRule="auto"/>
        <w:rPr>
          <w:rFonts w:ascii="Arial" w:cs="Arial" w:eastAsia="Arial" w:hAnsi="Arial"/>
        </w:rPr>
      </w:pPr>
      <w:bookmarkStart w:colFirst="0" w:colLast="0" w:name="_heading=h.st2j8isbt2lm" w:id="2"/>
      <w:bookmarkEnd w:id="2"/>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rPr>
      </w:pPr>
      <w:bookmarkStart w:colFirst="0" w:colLast="0" w:name="_heading=h.pls5muj2r9cu" w:id="3"/>
      <w:bookmarkEnd w:id="3"/>
      <w:r w:rsidDel="00000000" w:rsidR="00000000" w:rsidRPr="00000000">
        <w:rPr>
          <w:rtl w:val="0"/>
        </w:rPr>
      </w:r>
    </w:p>
    <w:tbl>
      <w:tblPr>
        <w:tblStyle w:val="Table3"/>
        <w:tblW w:w="9350.0" w:type="dxa"/>
        <w:jc w:val="left"/>
        <w:tblInd w:w="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9350"/>
        <w:tblGridChange w:id="0">
          <w:tblGrid>
            <w:gridCol w:w="9350"/>
          </w:tblGrid>
        </w:tblGridChange>
      </w:tblGrid>
      <w:tr>
        <w:trPr>
          <w:cantSplit w:val="0"/>
          <w:trHeight w:val="431.99999999999994" w:hRule="atLeast"/>
          <w:tblHeader w:val="0"/>
        </w:trPr>
        <w:tc>
          <w:tcPr>
            <w:shd w:fill="f3f3f3" w:val="clear"/>
            <w:vAlign w:val="center"/>
          </w:tcPr>
          <w:p w:rsidR="00000000" w:rsidDel="00000000" w:rsidP="00000000" w:rsidRDefault="00000000" w:rsidRPr="00000000" w14:paraId="00000010">
            <w:pPr>
              <w:spacing w:line="252.00000000000003" w:lineRule="auto"/>
              <w:jc w:val="center"/>
              <w:rPr>
                <w:rFonts w:ascii="Arial" w:cs="Arial" w:eastAsia="Arial" w:hAnsi="Arial"/>
                <w:color w:val="002169"/>
              </w:rPr>
            </w:pPr>
            <w:bookmarkStart w:colFirst="0" w:colLast="0" w:name="_heading=h.pls5muj2r9cu" w:id="3"/>
            <w:bookmarkEnd w:id="3"/>
            <w:r w:rsidDel="00000000" w:rsidR="00000000" w:rsidRPr="00000000">
              <w:rPr>
                <w:rFonts w:ascii="Arial" w:cs="Arial" w:eastAsia="Arial" w:hAnsi="Arial"/>
                <w:i w:val="1"/>
                <w:color w:val="002169"/>
                <w:rtl w:val="0"/>
              </w:rPr>
              <w:t xml:space="preserve">Federalist </w:t>
            </w:r>
            <w:r w:rsidDel="00000000" w:rsidR="00000000" w:rsidRPr="00000000">
              <w:rPr>
                <w:rFonts w:ascii="Arial" w:cs="Arial" w:eastAsia="Arial" w:hAnsi="Arial"/>
                <w:color w:val="002169"/>
                <w:rtl w:val="0"/>
              </w:rPr>
              <w:t xml:space="preserve">No. 78</w:t>
            </w:r>
          </w:p>
        </w:tc>
      </w:tr>
      <w:tr>
        <w:trPr>
          <w:cantSplit w:val="0"/>
          <w:trHeight w:val="576" w:hRule="atLeast"/>
          <w:tblHeader w:val="0"/>
        </w:trPr>
        <w:tc>
          <w:tcPr>
            <w:shd w:fill="f3f3f3" w:val="clear"/>
            <w:vAlign w:val="center"/>
          </w:tcPr>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rtl w:val="0"/>
              </w:rPr>
              <w:t xml:space="preserve">How does Alexander Hamilton describe the</w:t>
            </w:r>
            <w:r w:rsidDel="00000000" w:rsidR="00000000" w:rsidRPr="00000000">
              <w:rPr>
                <w:rFonts w:ascii="Arial" w:cs="Arial" w:eastAsia="Arial" w:hAnsi="Arial"/>
                <w:rtl w:val="0"/>
              </w:rPr>
              <w:t xml:space="preserve"> judiciary</w:t>
            </w:r>
            <w:r w:rsidDel="00000000" w:rsidR="00000000" w:rsidRPr="00000000">
              <w:rPr>
                <w:rFonts w:ascii="Arial" w:cs="Arial" w:eastAsia="Arial" w:hAnsi="Arial"/>
                <w:rtl w:val="0"/>
              </w:rPr>
              <w:t xml:space="preserve">? Why?</w:t>
            </w:r>
          </w:p>
        </w:tc>
      </w:tr>
      <w:tr>
        <w:trPr>
          <w:cantSplit w:val="0"/>
          <w:trHeight w:val="1890" w:hRule="atLeast"/>
          <w:tblHeader w:val="0"/>
        </w:trPr>
        <w:tc>
          <w:tcPr/>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tl w:val="0"/>
              </w:rPr>
            </w:r>
          </w:p>
        </w:tc>
      </w:tr>
      <w:tr>
        <w:trPr>
          <w:cantSplit w:val="0"/>
          <w:trHeight w:val="576" w:hRule="atLeast"/>
          <w:tblHeader w:val="0"/>
        </w:trPr>
        <w:tc>
          <w:tcPr>
            <w:shd w:fill="f3f3f3" w:val="cle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Why do independent judges have the power to strike down unconstitutional laws?</w:t>
            </w:r>
          </w:p>
        </w:tc>
      </w:tr>
      <w:tr>
        <w:trPr>
          <w:cantSplit w:val="0"/>
          <w:trHeight w:val="1335" w:hRule="atLeast"/>
          <w:tblHeader w:val="0"/>
        </w:trPr>
        <w:tc>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tc>
      </w:tr>
      <w:tr>
        <w:trPr>
          <w:cantSplit w:val="0"/>
          <w:trHeight w:val="576" w:hRule="atLeast"/>
          <w:tblHeader w:val="0"/>
        </w:trPr>
        <w:tc>
          <w:tcPr>
            <w:shd w:fill="f3f3f3" w:val="clear"/>
            <w:vAlign w:val="center"/>
          </w:tcPr>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What role do the people play in this process?</w:t>
            </w:r>
          </w:p>
        </w:tc>
      </w:tr>
      <w:tr>
        <w:trPr>
          <w:cantSplit w:val="0"/>
          <w:trHeight w:val="1320" w:hRule="atLeast"/>
          <w:tblHeader w:val="0"/>
        </w:trPr>
        <w:tc>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9">
      <w:pPr>
        <w:spacing w:after="0" w:lineRule="auto"/>
        <w:rPr>
          <w:rFonts w:ascii="Arial" w:cs="Arial" w:eastAsia="Arial" w:hAnsi="Arial"/>
          <w:i w:val="1"/>
        </w:rPr>
      </w:pPr>
      <w:bookmarkStart w:colFirst="0" w:colLast="0" w:name="_heading=h.5n3wnmt66tda" w:id="4"/>
      <w:bookmarkEnd w:id="4"/>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rPr>
      </w:pPr>
      <w:bookmarkStart w:colFirst="0" w:colLast="0" w:name="_heading=h.y0mloks4r9a3" w:id="5"/>
      <w:bookmarkEnd w:id="5"/>
      <w:r w:rsidDel="00000000" w:rsidR="00000000" w:rsidRPr="00000000">
        <w:rPr>
          <w:rtl w:val="0"/>
        </w:rPr>
      </w:r>
    </w:p>
    <w:tbl>
      <w:tblPr>
        <w:tblStyle w:val="Table4"/>
        <w:tblW w:w="9350.0" w:type="dxa"/>
        <w:jc w:val="left"/>
        <w:tblInd w:w="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9350"/>
        <w:tblGridChange w:id="0">
          <w:tblGrid>
            <w:gridCol w:w="9350"/>
          </w:tblGrid>
        </w:tblGridChange>
      </w:tblGrid>
      <w:tr>
        <w:trPr>
          <w:cantSplit w:val="0"/>
          <w:trHeight w:val="431.99999999999994" w:hRule="atLeast"/>
          <w:tblHeader w:val="0"/>
        </w:trPr>
        <w:tc>
          <w:tcPr>
            <w:shd w:fill="f3f3f3" w:val="clear"/>
            <w:vAlign w:val="center"/>
          </w:tcPr>
          <w:p w:rsidR="00000000" w:rsidDel="00000000" w:rsidP="00000000" w:rsidRDefault="00000000" w:rsidRPr="00000000" w14:paraId="0000001B">
            <w:pPr>
              <w:spacing w:line="252.00000000000003" w:lineRule="auto"/>
              <w:jc w:val="center"/>
              <w:rPr>
                <w:rFonts w:ascii="Arial" w:cs="Arial" w:eastAsia="Arial" w:hAnsi="Arial"/>
                <w:color w:val="002169"/>
              </w:rPr>
            </w:pPr>
            <w:bookmarkStart w:colFirst="0" w:colLast="0" w:name="_heading=h.y0mloks4r9a3" w:id="5"/>
            <w:bookmarkEnd w:id="5"/>
            <w:r w:rsidDel="00000000" w:rsidR="00000000" w:rsidRPr="00000000">
              <w:rPr>
                <w:rFonts w:ascii="Arial" w:cs="Arial" w:eastAsia="Arial" w:hAnsi="Arial"/>
                <w:i w:val="1"/>
                <w:color w:val="002169"/>
                <w:rtl w:val="0"/>
              </w:rPr>
              <w:t xml:space="preserve">Marbury v. Madison </w:t>
            </w:r>
            <w:r w:rsidDel="00000000" w:rsidR="00000000" w:rsidRPr="00000000">
              <w:rPr>
                <w:rFonts w:ascii="Arial" w:cs="Arial" w:eastAsia="Arial" w:hAnsi="Arial"/>
                <w:color w:val="002169"/>
                <w:rtl w:val="0"/>
              </w:rPr>
              <w:t xml:space="preserve">(1803)</w:t>
            </w:r>
          </w:p>
        </w:tc>
      </w:tr>
      <w:tr>
        <w:trPr>
          <w:cantSplit w:val="0"/>
          <w:trHeight w:val="720" w:hRule="atLeast"/>
          <w:tblHeader w:val="0"/>
        </w:trPr>
        <w:tc>
          <w:tcPr>
            <w:shd w:fill="f3f3f3" w:val="clear"/>
            <w:vAlign w:val="center"/>
          </w:tcPr>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Facts: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Who are all the people (parties) associated with the case? What was the dispute between them?</w:t>
            </w:r>
          </w:p>
        </w:tc>
      </w:tr>
      <w:tr>
        <w:trPr>
          <w:cantSplit w:val="0"/>
          <w:trHeight w:val="1440" w:hRule="atLeast"/>
          <w:tblHeader w:val="0"/>
        </w:trPr>
        <w:tc>
          <w:tcPr/>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tl w:val="0"/>
              </w:rPr>
            </w:r>
          </w:p>
        </w:tc>
      </w:tr>
      <w:tr>
        <w:trPr>
          <w:cantSplit w:val="0"/>
          <w:trHeight w:val="720" w:hRule="atLeast"/>
          <w:tblHeader w:val="0"/>
        </w:trPr>
        <w:tc>
          <w:tcPr>
            <w:shd w:fill="f3f3f3" w:val="clear"/>
            <w:vAlign w:val="center"/>
          </w:tcPr>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Issue:</w:t>
            </w:r>
            <w:r w:rsidDel="00000000" w:rsidR="00000000" w:rsidRPr="00000000">
              <w:rPr>
                <w:rFonts w:ascii="Arial" w:cs="Arial" w:eastAsia="Arial" w:hAnsi="Arial"/>
                <w:rtl w:val="0"/>
              </w:rPr>
              <w:t xml:space="preserve"> What is the issue in the case? What constitutional provision is at issue? What is the constitutional question that the Supreme Court has to answer?</w:t>
            </w:r>
          </w:p>
        </w:tc>
      </w:tr>
      <w:tr>
        <w:trPr>
          <w:cantSplit w:val="0"/>
          <w:trHeight w:val="1290" w:hRule="atLeast"/>
          <w:tblHeader w:val="0"/>
        </w:trPr>
        <w:tc>
          <w:tcPr/>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tl w:val="0"/>
              </w:rPr>
            </w:r>
          </w:p>
        </w:tc>
      </w:tr>
      <w:tr>
        <w:trPr>
          <w:cantSplit w:val="0"/>
          <w:trHeight w:val="863.9999999999999" w:hRule="atLeast"/>
          <w:tblHeader w:val="0"/>
        </w:trPr>
        <w:tc>
          <w:tcPr>
            <w:shd w:fill="f3f3f3" w:val="clear"/>
            <w:vAlign w:val="center"/>
          </w:tcPr>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Outcome/Ruling:</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How does the Court rule? What was the outcome in the case? Who won and who lost? How did the justices vote? What sort of rule does the Court come up with to resolve the issue?</w:t>
            </w:r>
          </w:p>
        </w:tc>
      </w:tr>
      <w:tr>
        <w:trPr>
          <w:cantSplit w:val="0"/>
          <w:trHeight w:val="1440" w:hRule="atLeast"/>
          <w:tblHeader w:val="0"/>
        </w:trPr>
        <w:tc>
          <w:tcPr/>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24">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9: The Judicial System and Current Cases</w:t>
    </w:r>
  </w:p>
  <w:p w:rsidR="00000000" w:rsidDel="00000000" w:rsidP="00000000" w:rsidRDefault="00000000" w:rsidRPr="00000000" w14:paraId="00000025">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9.4 Video Reflection</w:t>
    </w:r>
  </w:p>
  <w:p w:rsidR="00000000" w:rsidDel="00000000" w:rsidP="00000000" w:rsidRDefault="00000000" w:rsidRPr="00000000" w14:paraId="00000026">
    <w:pPr>
      <w:spacing w:after="0" w:line="240" w:lineRule="auto"/>
      <w:rPr>
        <w:rFonts w:ascii="Arial" w:cs="Arial" w:eastAsia="Arial" w:hAnsi="Arial"/>
        <w:color w:val="00216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82A"/>
    <w:pPr>
      <w:spacing w:line="252"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2082A"/>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92082A"/>
    <w:rPr>
      <w:color w:val="0563c1" w:themeColor="hyperlink"/>
      <w:u w:val="single"/>
    </w:rPr>
  </w:style>
  <w:style w:type="character" w:styleId="UnresolvedMention">
    <w:name w:val="Unresolved Mention"/>
    <w:basedOn w:val="DefaultParagraphFont"/>
    <w:uiPriority w:val="99"/>
    <w:semiHidden w:val="1"/>
    <w:unhideWhenUsed w:val="1"/>
    <w:rsid w:val="0092082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qCrN0C39vno&amp;list=PLLd1AFkP31XNrOuH2bpdmRAzWlw3GiAsv&amp;index=12&amp;t=29s"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CX/Z+6wGVquWwx2N5BTGCX/47Q==">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2022-06-10T19:08:00Z</dcterms:created>
  <dc:creator>Nick Splendoria</dc:creator>
</cp:coreProperties>
</file>