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4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5"/>
        <w:tblGridChange w:id="0">
          <w:tblGrid>
            <w:gridCol w:w="949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DECLARATION OF INDEPENDENCE AND THE PREAMBLE</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00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Read the excerpts of the Declaration of Independence and the Preamble to the Constitution before watching the following video, and be on the lookout for them as you watch. As you watch underline or highlight </w:t>
      </w:r>
      <w:r w:rsidDel="00000000" w:rsidR="00000000" w:rsidRPr="00000000">
        <w:rPr>
          <w:rFonts w:ascii="Arial" w:cs="Arial" w:eastAsia="Arial" w:hAnsi="Arial"/>
          <w:highlight w:val="white"/>
          <w:rtl w:val="0"/>
        </w:rPr>
        <w:t xml:space="preserve">phrases that match to key terms reviewed. Look for ideas that match the principles like </w:t>
      </w:r>
      <w:r w:rsidDel="00000000" w:rsidR="00000000" w:rsidRPr="00000000">
        <w:rPr>
          <w:rFonts w:ascii="Arial" w:cs="Arial" w:eastAsia="Arial" w:hAnsi="Arial"/>
          <w:rtl w:val="0"/>
        </w:rPr>
        <w:t xml:space="preserve">natural rights, popular sovereignty, rule of law, and social contract theory.</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color w:val="002169"/>
          <w:highlight w:val="white"/>
        </w:rPr>
      </w:pPr>
      <w:r w:rsidDel="00000000" w:rsidR="00000000" w:rsidRPr="00000000">
        <w:rPr>
          <w:rFonts w:ascii="Arial" w:cs="Arial" w:eastAsia="Arial" w:hAnsi="Arial"/>
          <w:color w:val="002169"/>
          <w:highlight w:val="white"/>
          <w:rtl w:val="0"/>
        </w:rPr>
        <w:t xml:space="preserve">Declaration of Independence (1776):</w:t>
      </w:r>
    </w:p>
    <w:p w:rsidR="00000000" w:rsidDel="00000000" w:rsidP="00000000" w:rsidRDefault="00000000" w:rsidRPr="00000000" w14:paraId="00000008">
      <w:pPr>
        <w:spacing w:line="276"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rsidR="00000000" w:rsidDel="00000000" w:rsidP="00000000" w:rsidRDefault="00000000" w:rsidRPr="00000000" w14:paraId="00000009">
      <w:pPr>
        <w:spacing w:line="276" w:lineRule="auto"/>
        <w:rPr>
          <w:rFonts w:ascii="Arial" w:cs="Arial" w:eastAsia="Arial" w:hAnsi="Arial"/>
          <w:color w:val="002169"/>
          <w:highlight w:val="white"/>
        </w:rPr>
      </w:pPr>
      <w:r w:rsidDel="00000000" w:rsidR="00000000" w:rsidRPr="00000000">
        <w:rPr>
          <w:rFonts w:ascii="Arial" w:cs="Arial" w:eastAsia="Arial" w:hAnsi="Arial"/>
          <w:color w:val="002169"/>
          <w:highlight w:val="white"/>
          <w:rtl w:val="0"/>
        </w:rPr>
        <w:t xml:space="preserve">Preamble to the Constitution (1787):</w:t>
      </w:r>
    </w:p>
    <w:p w:rsidR="00000000" w:rsidDel="00000000" w:rsidP="00000000" w:rsidRDefault="00000000" w:rsidRPr="00000000" w14:paraId="0000000A">
      <w:pPr>
        <w:spacing w:line="276" w:lineRule="auto"/>
        <w:ind w:left="720" w:firstLine="0"/>
        <w:rPr>
          <w:rFonts w:ascii="Arial" w:cs="Arial" w:eastAsia="Arial" w:hAnsi="Arial"/>
        </w:rPr>
      </w:pPr>
      <w:r w:rsidDel="00000000" w:rsidR="00000000" w:rsidRPr="00000000">
        <w:rPr>
          <w:rFonts w:ascii="Arial" w:cs="Arial" w:eastAsia="Arial" w:hAnsi="Arial"/>
          <w:highlight w:val="white"/>
          <w:rtl w:val="0"/>
        </w:rPr>
        <w:t xml:space="preserve">We the People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color w:val="002169"/>
        <w:rtl w:val="0"/>
      </w:rPr>
      <w:t xml:space="preserve">Module 2</w:t>
    </w:r>
    <w:r w:rsidDel="00000000" w:rsidR="00000000" w:rsidRPr="00000000">
      <w:rPr>
        <w:rFonts w:ascii="Arial" w:cs="Arial" w:eastAsia="Arial" w:hAnsi="Arial"/>
        <w:color w:val="002169"/>
        <w:rtl w:val="0"/>
      </w:rPr>
      <w:t xml:space="preserve">: Principles of the American Revolution</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2.4 Info Brief</w:t>
    </w:r>
  </w:p>
  <w:p w:rsidR="00000000" w:rsidDel="00000000" w:rsidP="00000000" w:rsidRDefault="00000000" w:rsidRPr="00000000" w14:paraId="00000010">
    <w:pPr>
      <w:spacing w:after="0" w:line="240" w:lineRule="auto"/>
      <w:rPr>
        <w:rFonts w:ascii="Verdana" w:cs="Verdana" w:eastAsia="Verdana" w:hAnsi="Verdan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cXmEhMyzG70onS41dgpMQVJ9A==">AMUW2mVsYLGCqeGTowq7S6MKydHDetIuec1TxDXwA2wx2AwA10N9n6PtLo8DTM6QOuueI9zdL02lbOTuAoW3OZSuaK0hzb9m3bgM6ma5+H4pwyYxy5ZAmPs=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2022-08-14T23:48:00Z</dcterms:created>
  <dc:creator>Jenna Winterle Kehres</dc:creator>
</cp:coreProperties>
</file>