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695" w:rsidRDefault="00B57695">
      <w:pPr>
        <w:widowControl w:val="0"/>
        <w:spacing w:after="0" w:line="276" w:lineRule="auto"/>
        <w:rPr>
          <w:rFonts w:ascii="Arial" w:eastAsia="Arial" w:hAnsi="Arial" w:cs="Arial"/>
          <w:color w:val="002169"/>
        </w:rPr>
      </w:pPr>
      <w:bookmarkStart w:id="0" w:name="_GoBack"/>
      <w:bookmarkEnd w:id="0"/>
    </w:p>
    <w:tbl>
      <w:tblPr>
        <w:tblStyle w:val="a3"/>
        <w:tblW w:w="8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5"/>
      </w:tblGrid>
      <w:tr w:rsidR="00B57695">
        <w:trPr>
          <w:trHeight w:val="432"/>
          <w:jc w:val="center"/>
        </w:trPr>
        <w:tc>
          <w:tcPr>
            <w:tcW w:w="8295" w:type="dxa"/>
            <w:tcBorders>
              <w:top w:val="single" w:sz="18" w:space="0" w:color="002169"/>
              <w:left w:val="single" w:sz="18" w:space="0" w:color="002169"/>
              <w:bottom w:val="single" w:sz="18" w:space="0" w:color="002169"/>
              <w:right w:val="single" w:sz="18" w:space="0" w:color="002169"/>
            </w:tcBorders>
            <w:vAlign w:val="center"/>
          </w:tcPr>
          <w:p w:rsidR="00B57695" w:rsidRDefault="004479CE">
            <w:pPr>
              <w:jc w:val="center"/>
              <w:rPr>
                <w:rFonts w:ascii="Arial" w:eastAsia="Arial" w:hAnsi="Arial" w:cs="Arial"/>
                <w:b/>
                <w:color w:val="002169"/>
                <w:sz w:val="32"/>
                <w:szCs w:val="32"/>
              </w:rPr>
            </w:pPr>
            <w:r>
              <w:rPr>
                <w:rFonts w:ascii="Arial" w:eastAsia="Arial" w:hAnsi="Arial" w:cs="Arial"/>
                <w:b/>
                <w:color w:val="002169"/>
                <w:sz w:val="32"/>
                <w:szCs w:val="32"/>
              </w:rPr>
              <w:t>METHODS OF CONSTITUTIONAL INTERPRETATION</w:t>
            </w:r>
          </w:p>
        </w:tc>
      </w:tr>
    </w:tbl>
    <w:p w:rsidR="00B57695" w:rsidRDefault="00B57695">
      <w:pPr>
        <w:spacing w:after="0" w:line="240" w:lineRule="auto"/>
        <w:rPr>
          <w:rFonts w:ascii="Arial" w:eastAsia="Arial" w:hAnsi="Arial" w:cs="Arial"/>
        </w:rPr>
      </w:pPr>
    </w:p>
    <w:p w:rsidR="00B57695" w:rsidRDefault="004479CE">
      <w:pPr>
        <w:spacing w:line="240" w:lineRule="auto"/>
        <w:rPr>
          <w:rFonts w:ascii="Arial" w:eastAsia="Arial" w:hAnsi="Arial" w:cs="Arial"/>
          <w:sz w:val="24"/>
          <w:szCs w:val="24"/>
        </w:rPr>
      </w:pPr>
      <w:r>
        <w:rPr>
          <w:rFonts w:ascii="Arial" w:eastAsia="Arial" w:hAnsi="Arial" w:cs="Arial"/>
          <w:color w:val="000000"/>
        </w:rPr>
        <w:t xml:space="preserve">Judges use their reasoning skills to decide what particular laws mean when they rule on cases. Different judges sometimes use different </w:t>
      </w:r>
      <w:r>
        <w:rPr>
          <w:rFonts w:ascii="Arial" w:eastAsia="Arial" w:hAnsi="Arial" w:cs="Arial"/>
        </w:rPr>
        <w:t>methods</w:t>
      </w:r>
      <w:r>
        <w:rPr>
          <w:rFonts w:ascii="Arial" w:eastAsia="Arial" w:hAnsi="Arial" w:cs="Arial"/>
          <w:color w:val="000000"/>
        </w:rPr>
        <w:t xml:space="preserve"> to interpret the Constitution, meaning that judges do not always agree on the meaning of the Constitution. There are seven widely accepted methods of interpretation that shed light on the meaning of the Constitution.</w:t>
      </w:r>
    </w:p>
    <w:p w:rsidR="00B57695" w:rsidRDefault="00B57695">
      <w:pPr>
        <w:spacing w:after="0" w:line="240" w:lineRule="auto"/>
        <w:rPr>
          <w:rFonts w:ascii="Arial" w:eastAsia="Arial" w:hAnsi="Arial" w:cs="Arial"/>
          <w:sz w:val="24"/>
          <w:szCs w:val="24"/>
        </w:rPr>
      </w:pPr>
    </w:p>
    <w:tbl>
      <w:tblPr>
        <w:tblStyle w:val="a4"/>
        <w:tblW w:w="9222" w:type="dxa"/>
        <w:tblBorders>
          <w:top w:val="single" w:sz="12" w:space="0" w:color="00BCCA"/>
          <w:left w:val="single" w:sz="12" w:space="0" w:color="00BCCA"/>
          <w:bottom w:val="single" w:sz="12" w:space="0" w:color="00BCCA"/>
          <w:right w:val="single" w:sz="12" w:space="0" w:color="00BCCA"/>
          <w:insideH w:val="single" w:sz="12" w:space="0" w:color="00BCCA"/>
          <w:insideV w:val="single" w:sz="12" w:space="0" w:color="00BCCA"/>
        </w:tblBorders>
        <w:tblLayout w:type="fixed"/>
        <w:tblLook w:val="0400" w:firstRow="0" w:lastRow="0" w:firstColumn="0" w:lastColumn="0" w:noHBand="0" w:noVBand="1"/>
      </w:tblPr>
      <w:tblGrid>
        <w:gridCol w:w="2106"/>
        <w:gridCol w:w="7116"/>
      </w:tblGrid>
      <w:tr w:rsidR="00B57695">
        <w:trPr>
          <w:trHeight w:val="456"/>
        </w:trPr>
        <w:tc>
          <w:tcPr>
            <w:tcW w:w="2106" w:type="dxa"/>
            <w:tcBorders>
              <w:top w:val="single" w:sz="12" w:space="0" w:color="00BCCA"/>
              <w:left w:val="single" w:sz="12" w:space="0" w:color="00BCCA"/>
              <w:bottom w:val="single" w:sz="12" w:space="0" w:color="00BCCA"/>
              <w:right w:val="single" w:sz="12" w:space="0" w:color="00BCCA"/>
            </w:tcBorders>
            <w:shd w:val="clear" w:color="auto" w:fill="F3F3F3"/>
            <w:tcMar>
              <w:top w:w="72" w:type="dxa"/>
              <w:left w:w="144" w:type="dxa"/>
              <w:bottom w:w="72" w:type="dxa"/>
              <w:right w:w="144" w:type="dxa"/>
            </w:tcMar>
            <w:vAlign w:val="center"/>
          </w:tcPr>
          <w:p w:rsidR="00B57695" w:rsidRDefault="004479CE">
            <w:pPr>
              <w:jc w:val="center"/>
              <w:rPr>
                <w:rFonts w:ascii="Arial" w:eastAsia="Arial" w:hAnsi="Arial" w:cs="Arial"/>
                <w:color w:val="002060"/>
              </w:rPr>
            </w:pPr>
            <w:r>
              <w:rPr>
                <w:rFonts w:ascii="Arial" w:eastAsia="Arial" w:hAnsi="Arial" w:cs="Arial"/>
                <w:color w:val="002060"/>
              </w:rPr>
              <w:t>Method</w:t>
            </w:r>
          </w:p>
        </w:tc>
        <w:tc>
          <w:tcPr>
            <w:tcW w:w="7116" w:type="dxa"/>
            <w:tcBorders>
              <w:top w:val="single" w:sz="12" w:space="0" w:color="00BCCA"/>
              <w:left w:val="single" w:sz="12" w:space="0" w:color="00BCCA"/>
              <w:bottom w:val="single" w:sz="12" w:space="0" w:color="00BCCA"/>
              <w:right w:val="single" w:sz="12" w:space="0" w:color="00BCCA"/>
            </w:tcBorders>
            <w:shd w:val="clear" w:color="auto" w:fill="F3F3F3"/>
            <w:tcMar>
              <w:top w:w="72" w:type="dxa"/>
              <w:left w:w="144" w:type="dxa"/>
              <w:bottom w:w="72" w:type="dxa"/>
              <w:right w:w="144" w:type="dxa"/>
            </w:tcMar>
            <w:vAlign w:val="center"/>
          </w:tcPr>
          <w:p w:rsidR="00B57695" w:rsidRDefault="004479CE">
            <w:pPr>
              <w:jc w:val="center"/>
              <w:rPr>
                <w:rFonts w:ascii="Arial" w:eastAsia="Arial" w:hAnsi="Arial" w:cs="Arial"/>
                <w:color w:val="002060"/>
              </w:rPr>
            </w:pPr>
            <w:r>
              <w:rPr>
                <w:rFonts w:ascii="Arial" w:eastAsia="Arial" w:hAnsi="Arial" w:cs="Arial"/>
                <w:color w:val="002060"/>
              </w:rPr>
              <w:t xml:space="preserve">Definition </w:t>
            </w:r>
          </w:p>
        </w:tc>
      </w:tr>
      <w:tr w:rsidR="00B57695">
        <w:trPr>
          <w:trHeight w:val="873"/>
        </w:trPr>
        <w:tc>
          <w:tcPr>
            <w:tcW w:w="2106" w:type="dxa"/>
            <w:tcBorders>
              <w:top w:val="single" w:sz="12" w:space="0" w:color="00BCCA"/>
              <w:left w:val="single" w:sz="12" w:space="0" w:color="00BCCA"/>
              <w:bottom w:val="single" w:sz="12" w:space="0" w:color="00BCCA"/>
              <w:right w:val="single" w:sz="12" w:space="0" w:color="00BCCA"/>
            </w:tcBorders>
            <w:shd w:val="clear" w:color="auto" w:fill="F3F3F3"/>
            <w:tcMar>
              <w:top w:w="72" w:type="dxa"/>
              <w:left w:w="144" w:type="dxa"/>
              <w:bottom w:w="72" w:type="dxa"/>
              <w:right w:w="144" w:type="dxa"/>
            </w:tcMar>
            <w:vAlign w:val="center"/>
          </w:tcPr>
          <w:p w:rsidR="00B57695" w:rsidRDefault="004479CE">
            <w:pPr>
              <w:jc w:val="center"/>
              <w:rPr>
                <w:rFonts w:ascii="Arial" w:eastAsia="Arial" w:hAnsi="Arial" w:cs="Arial"/>
              </w:rPr>
            </w:pPr>
            <w:r>
              <w:rPr>
                <w:rFonts w:ascii="Arial" w:eastAsia="Arial" w:hAnsi="Arial" w:cs="Arial"/>
                <w:color w:val="002060"/>
              </w:rPr>
              <w:t>Text</w:t>
            </w:r>
          </w:p>
        </w:tc>
        <w:tc>
          <w:tcPr>
            <w:tcW w:w="7116" w:type="dxa"/>
            <w:tcBorders>
              <w:top w:val="single" w:sz="12" w:space="0" w:color="00BCCA"/>
              <w:left w:val="single" w:sz="12" w:space="0" w:color="00BCCA"/>
              <w:bottom w:val="single" w:sz="12" w:space="0" w:color="00BCCA"/>
              <w:right w:val="single" w:sz="12" w:space="0" w:color="00BCCA"/>
            </w:tcBorders>
            <w:tcMar>
              <w:top w:w="72" w:type="dxa"/>
              <w:left w:w="144" w:type="dxa"/>
              <w:bottom w:w="72" w:type="dxa"/>
              <w:right w:w="144" w:type="dxa"/>
            </w:tcMar>
            <w:vAlign w:val="center"/>
          </w:tcPr>
          <w:p w:rsidR="00B57695" w:rsidRDefault="004479CE">
            <w:pPr>
              <w:rPr>
                <w:rFonts w:ascii="Arial" w:eastAsia="Arial" w:hAnsi="Arial" w:cs="Arial"/>
              </w:rPr>
            </w:pPr>
            <w:r>
              <w:rPr>
                <w:rFonts w:ascii="Arial" w:eastAsia="Arial" w:hAnsi="Arial" w:cs="Arial"/>
                <w:color w:val="002060"/>
              </w:rPr>
              <w:t>A judge looks to the meaning of the words in the Constitution, relying on common understandings of what the words meant at the time the provision was added.</w:t>
            </w:r>
          </w:p>
        </w:tc>
      </w:tr>
      <w:tr w:rsidR="00B57695">
        <w:trPr>
          <w:trHeight w:val="873"/>
        </w:trPr>
        <w:tc>
          <w:tcPr>
            <w:tcW w:w="2106" w:type="dxa"/>
            <w:tcBorders>
              <w:top w:val="single" w:sz="12" w:space="0" w:color="00BCCA"/>
              <w:left w:val="single" w:sz="12" w:space="0" w:color="00BCCA"/>
              <w:bottom w:val="single" w:sz="12" w:space="0" w:color="00BCCA"/>
              <w:right w:val="single" w:sz="12" w:space="0" w:color="00BCCA"/>
            </w:tcBorders>
            <w:shd w:val="clear" w:color="auto" w:fill="F3F3F3"/>
            <w:tcMar>
              <w:top w:w="72" w:type="dxa"/>
              <w:left w:w="144" w:type="dxa"/>
              <w:bottom w:w="72" w:type="dxa"/>
              <w:right w:w="144" w:type="dxa"/>
            </w:tcMar>
            <w:vAlign w:val="center"/>
          </w:tcPr>
          <w:p w:rsidR="00B57695" w:rsidRDefault="004479CE">
            <w:pPr>
              <w:jc w:val="center"/>
              <w:rPr>
                <w:rFonts w:ascii="Arial" w:eastAsia="Arial" w:hAnsi="Arial" w:cs="Arial"/>
              </w:rPr>
            </w:pPr>
            <w:r>
              <w:rPr>
                <w:rFonts w:ascii="Arial" w:eastAsia="Arial" w:hAnsi="Arial" w:cs="Arial"/>
                <w:color w:val="002060"/>
              </w:rPr>
              <w:t>History </w:t>
            </w:r>
          </w:p>
        </w:tc>
        <w:tc>
          <w:tcPr>
            <w:tcW w:w="7116" w:type="dxa"/>
            <w:tcBorders>
              <w:top w:val="single" w:sz="12" w:space="0" w:color="00BCCA"/>
              <w:left w:val="single" w:sz="12" w:space="0" w:color="00BCCA"/>
              <w:bottom w:val="single" w:sz="12" w:space="0" w:color="00BCCA"/>
              <w:right w:val="single" w:sz="12" w:space="0" w:color="00BCCA"/>
            </w:tcBorders>
            <w:tcMar>
              <w:top w:w="72" w:type="dxa"/>
              <w:left w:w="144" w:type="dxa"/>
              <w:bottom w:w="72" w:type="dxa"/>
              <w:right w:w="144" w:type="dxa"/>
            </w:tcMar>
            <w:vAlign w:val="center"/>
          </w:tcPr>
          <w:p w:rsidR="00B57695" w:rsidRDefault="004479CE">
            <w:pPr>
              <w:rPr>
                <w:rFonts w:ascii="Arial" w:eastAsia="Arial" w:hAnsi="Arial" w:cs="Arial"/>
              </w:rPr>
            </w:pPr>
            <w:r>
              <w:rPr>
                <w:rFonts w:ascii="Arial" w:eastAsia="Arial" w:hAnsi="Arial" w:cs="Arial"/>
                <w:color w:val="002060"/>
              </w:rPr>
              <w:t>A judge looks to the historical context of when a given provision was drafted and ratifie</w:t>
            </w:r>
            <w:r>
              <w:rPr>
                <w:rFonts w:ascii="Arial" w:eastAsia="Arial" w:hAnsi="Arial" w:cs="Arial"/>
                <w:color w:val="002060"/>
              </w:rPr>
              <w:t>d to shed light on its meaning.</w:t>
            </w:r>
          </w:p>
        </w:tc>
      </w:tr>
      <w:tr w:rsidR="00B57695">
        <w:trPr>
          <w:trHeight w:val="873"/>
        </w:trPr>
        <w:tc>
          <w:tcPr>
            <w:tcW w:w="2106" w:type="dxa"/>
            <w:tcBorders>
              <w:top w:val="single" w:sz="12" w:space="0" w:color="00BCCA"/>
              <w:left w:val="single" w:sz="12" w:space="0" w:color="00BCCA"/>
              <w:bottom w:val="single" w:sz="12" w:space="0" w:color="00BCCA"/>
              <w:right w:val="single" w:sz="12" w:space="0" w:color="00BCCA"/>
            </w:tcBorders>
            <w:shd w:val="clear" w:color="auto" w:fill="F3F3F3"/>
            <w:tcMar>
              <w:top w:w="72" w:type="dxa"/>
              <w:left w:w="144" w:type="dxa"/>
              <w:bottom w:w="72" w:type="dxa"/>
              <w:right w:w="144" w:type="dxa"/>
            </w:tcMar>
            <w:vAlign w:val="center"/>
          </w:tcPr>
          <w:p w:rsidR="00B57695" w:rsidRDefault="004479CE">
            <w:pPr>
              <w:jc w:val="center"/>
              <w:rPr>
                <w:rFonts w:ascii="Arial" w:eastAsia="Arial" w:hAnsi="Arial" w:cs="Arial"/>
              </w:rPr>
            </w:pPr>
            <w:r>
              <w:rPr>
                <w:rFonts w:ascii="Arial" w:eastAsia="Arial" w:hAnsi="Arial" w:cs="Arial"/>
                <w:color w:val="002060"/>
              </w:rPr>
              <w:t>Tradition </w:t>
            </w:r>
          </w:p>
        </w:tc>
        <w:tc>
          <w:tcPr>
            <w:tcW w:w="7116" w:type="dxa"/>
            <w:tcBorders>
              <w:top w:val="single" w:sz="12" w:space="0" w:color="00BCCA"/>
              <w:left w:val="single" w:sz="12" w:space="0" w:color="00BCCA"/>
              <w:bottom w:val="single" w:sz="12" w:space="0" w:color="00BCCA"/>
              <w:right w:val="single" w:sz="12" w:space="0" w:color="00BCCA"/>
            </w:tcBorders>
            <w:tcMar>
              <w:top w:w="72" w:type="dxa"/>
              <w:left w:w="144" w:type="dxa"/>
              <w:bottom w:w="72" w:type="dxa"/>
              <w:right w:w="144" w:type="dxa"/>
            </w:tcMar>
            <w:vAlign w:val="center"/>
          </w:tcPr>
          <w:p w:rsidR="00B57695" w:rsidRDefault="004479CE">
            <w:pPr>
              <w:rPr>
                <w:rFonts w:ascii="Arial" w:eastAsia="Arial" w:hAnsi="Arial" w:cs="Arial"/>
              </w:rPr>
            </w:pPr>
            <w:r>
              <w:rPr>
                <w:rFonts w:ascii="Arial" w:eastAsia="Arial" w:hAnsi="Arial" w:cs="Arial"/>
                <w:color w:val="002060"/>
              </w:rPr>
              <w:t>A judge looks to any laws, customs, and practices established after the framing and ratification of a given provision.</w:t>
            </w:r>
          </w:p>
        </w:tc>
      </w:tr>
      <w:tr w:rsidR="00B57695">
        <w:trPr>
          <w:trHeight w:val="873"/>
        </w:trPr>
        <w:tc>
          <w:tcPr>
            <w:tcW w:w="2106" w:type="dxa"/>
            <w:tcBorders>
              <w:top w:val="single" w:sz="12" w:space="0" w:color="00BCCA"/>
              <w:left w:val="single" w:sz="12" w:space="0" w:color="00BCCA"/>
              <w:bottom w:val="single" w:sz="12" w:space="0" w:color="00BCCA"/>
              <w:right w:val="single" w:sz="12" w:space="0" w:color="00BCCA"/>
            </w:tcBorders>
            <w:shd w:val="clear" w:color="auto" w:fill="F3F3F3"/>
            <w:tcMar>
              <w:top w:w="72" w:type="dxa"/>
              <w:left w:w="144" w:type="dxa"/>
              <w:bottom w:w="72" w:type="dxa"/>
              <w:right w:w="144" w:type="dxa"/>
            </w:tcMar>
            <w:vAlign w:val="center"/>
          </w:tcPr>
          <w:p w:rsidR="00B57695" w:rsidRDefault="004479CE">
            <w:pPr>
              <w:jc w:val="center"/>
              <w:rPr>
                <w:rFonts w:ascii="Arial" w:eastAsia="Arial" w:hAnsi="Arial" w:cs="Arial"/>
              </w:rPr>
            </w:pPr>
            <w:r>
              <w:rPr>
                <w:rFonts w:ascii="Arial" w:eastAsia="Arial" w:hAnsi="Arial" w:cs="Arial"/>
                <w:color w:val="002060"/>
              </w:rPr>
              <w:t>Precedent</w:t>
            </w:r>
          </w:p>
        </w:tc>
        <w:tc>
          <w:tcPr>
            <w:tcW w:w="7116" w:type="dxa"/>
            <w:tcBorders>
              <w:top w:val="single" w:sz="12" w:space="0" w:color="00BCCA"/>
              <w:left w:val="single" w:sz="12" w:space="0" w:color="00BCCA"/>
              <w:bottom w:val="single" w:sz="12" w:space="0" w:color="00BCCA"/>
              <w:right w:val="single" w:sz="12" w:space="0" w:color="00BCCA"/>
            </w:tcBorders>
            <w:tcMar>
              <w:top w:w="72" w:type="dxa"/>
              <w:left w:w="144" w:type="dxa"/>
              <w:bottom w:w="72" w:type="dxa"/>
              <w:right w:w="144" w:type="dxa"/>
            </w:tcMar>
            <w:vAlign w:val="center"/>
          </w:tcPr>
          <w:p w:rsidR="00B57695" w:rsidRDefault="004479CE">
            <w:pPr>
              <w:rPr>
                <w:rFonts w:ascii="Arial" w:eastAsia="Arial" w:hAnsi="Arial" w:cs="Arial"/>
              </w:rPr>
            </w:pPr>
            <w:r>
              <w:rPr>
                <w:rFonts w:ascii="Arial" w:eastAsia="Arial" w:hAnsi="Arial" w:cs="Arial"/>
                <w:color w:val="002060"/>
              </w:rPr>
              <w:t>A judge applies rules established by precedents—taking rulings in old cases and applying them to new cases.</w:t>
            </w:r>
          </w:p>
        </w:tc>
      </w:tr>
      <w:tr w:rsidR="00B57695">
        <w:trPr>
          <w:trHeight w:val="873"/>
        </w:trPr>
        <w:tc>
          <w:tcPr>
            <w:tcW w:w="2106" w:type="dxa"/>
            <w:tcBorders>
              <w:top w:val="single" w:sz="12" w:space="0" w:color="00BCCA"/>
              <w:left w:val="single" w:sz="12" w:space="0" w:color="00BCCA"/>
              <w:bottom w:val="single" w:sz="12" w:space="0" w:color="00BCCA"/>
              <w:right w:val="single" w:sz="12" w:space="0" w:color="00BCCA"/>
            </w:tcBorders>
            <w:shd w:val="clear" w:color="auto" w:fill="F3F3F3"/>
            <w:tcMar>
              <w:top w:w="72" w:type="dxa"/>
              <w:left w:w="144" w:type="dxa"/>
              <w:bottom w:w="72" w:type="dxa"/>
              <w:right w:w="144" w:type="dxa"/>
            </w:tcMar>
            <w:vAlign w:val="center"/>
          </w:tcPr>
          <w:p w:rsidR="00B57695" w:rsidRDefault="004479CE">
            <w:pPr>
              <w:jc w:val="center"/>
              <w:rPr>
                <w:rFonts w:ascii="Arial" w:eastAsia="Arial" w:hAnsi="Arial" w:cs="Arial"/>
              </w:rPr>
            </w:pPr>
            <w:r>
              <w:rPr>
                <w:rFonts w:ascii="Arial" w:eastAsia="Arial" w:hAnsi="Arial" w:cs="Arial"/>
                <w:color w:val="002060"/>
              </w:rPr>
              <w:t>Structure</w:t>
            </w:r>
          </w:p>
        </w:tc>
        <w:tc>
          <w:tcPr>
            <w:tcW w:w="7116" w:type="dxa"/>
            <w:tcBorders>
              <w:top w:val="single" w:sz="12" w:space="0" w:color="00BCCA"/>
              <w:left w:val="single" w:sz="12" w:space="0" w:color="00BCCA"/>
              <w:bottom w:val="single" w:sz="12" w:space="0" w:color="00BCCA"/>
              <w:right w:val="single" w:sz="12" w:space="0" w:color="00BCCA"/>
            </w:tcBorders>
            <w:tcMar>
              <w:top w:w="72" w:type="dxa"/>
              <w:left w:w="144" w:type="dxa"/>
              <w:bottom w:w="72" w:type="dxa"/>
              <w:right w:w="144" w:type="dxa"/>
            </w:tcMar>
            <w:vAlign w:val="center"/>
          </w:tcPr>
          <w:p w:rsidR="00B57695" w:rsidRDefault="004479CE">
            <w:pPr>
              <w:rPr>
                <w:rFonts w:ascii="Arial" w:eastAsia="Arial" w:hAnsi="Arial" w:cs="Arial"/>
              </w:rPr>
            </w:pPr>
            <w:r>
              <w:rPr>
                <w:rFonts w:ascii="Arial" w:eastAsia="Arial" w:hAnsi="Arial" w:cs="Arial"/>
                <w:color w:val="002060"/>
              </w:rPr>
              <w:t xml:space="preserve">A judge infers structural rules (power relationships between institutions, for instance) from the relationships specifically outlined in </w:t>
            </w:r>
            <w:r>
              <w:rPr>
                <w:rFonts w:ascii="Arial" w:eastAsia="Arial" w:hAnsi="Arial" w:cs="Arial"/>
                <w:color w:val="002060"/>
              </w:rPr>
              <w:t>the Constitution.</w:t>
            </w:r>
          </w:p>
        </w:tc>
      </w:tr>
      <w:tr w:rsidR="00B57695">
        <w:trPr>
          <w:trHeight w:val="873"/>
        </w:trPr>
        <w:tc>
          <w:tcPr>
            <w:tcW w:w="2106" w:type="dxa"/>
            <w:tcBorders>
              <w:top w:val="single" w:sz="12" w:space="0" w:color="00BCCA"/>
              <w:left w:val="single" w:sz="12" w:space="0" w:color="00BCCA"/>
              <w:bottom w:val="single" w:sz="12" w:space="0" w:color="00BCCA"/>
              <w:right w:val="single" w:sz="12" w:space="0" w:color="00BCCA"/>
            </w:tcBorders>
            <w:shd w:val="clear" w:color="auto" w:fill="F3F3F3"/>
            <w:tcMar>
              <w:top w:w="72" w:type="dxa"/>
              <w:left w:w="144" w:type="dxa"/>
              <w:bottom w:w="72" w:type="dxa"/>
              <w:right w:w="144" w:type="dxa"/>
            </w:tcMar>
            <w:vAlign w:val="center"/>
          </w:tcPr>
          <w:p w:rsidR="00B57695" w:rsidRDefault="004479CE">
            <w:pPr>
              <w:jc w:val="center"/>
              <w:rPr>
                <w:rFonts w:ascii="Arial" w:eastAsia="Arial" w:hAnsi="Arial" w:cs="Arial"/>
              </w:rPr>
            </w:pPr>
            <w:r>
              <w:rPr>
                <w:rFonts w:ascii="Arial" w:eastAsia="Arial" w:hAnsi="Arial" w:cs="Arial"/>
                <w:color w:val="002060"/>
              </w:rPr>
              <w:t>Prudence/</w:t>
            </w:r>
            <w:r>
              <w:rPr>
                <w:rFonts w:ascii="Arial" w:eastAsia="Arial" w:hAnsi="Arial" w:cs="Arial"/>
                <w:color w:val="002060"/>
              </w:rPr>
              <w:br/>
              <w:t>Consequences</w:t>
            </w:r>
          </w:p>
        </w:tc>
        <w:tc>
          <w:tcPr>
            <w:tcW w:w="7116" w:type="dxa"/>
            <w:tcBorders>
              <w:top w:val="single" w:sz="12" w:space="0" w:color="00BCCA"/>
              <w:left w:val="single" w:sz="12" w:space="0" w:color="00BCCA"/>
              <w:bottom w:val="single" w:sz="12" w:space="0" w:color="00BCCA"/>
              <w:right w:val="single" w:sz="12" w:space="0" w:color="00BCCA"/>
            </w:tcBorders>
            <w:tcMar>
              <w:top w:w="72" w:type="dxa"/>
              <w:left w:w="144" w:type="dxa"/>
              <w:bottom w:w="72" w:type="dxa"/>
              <w:right w:w="144" w:type="dxa"/>
            </w:tcMar>
            <w:vAlign w:val="center"/>
          </w:tcPr>
          <w:p w:rsidR="00B57695" w:rsidRDefault="004479CE">
            <w:pPr>
              <w:rPr>
                <w:rFonts w:ascii="Arial" w:eastAsia="Arial" w:hAnsi="Arial" w:cs="Arial"/>
              </w:rPr>
            </w:pPr>
            <w:r>
              <w:rPr>
                <w:rFonts w:ascii="Arial" w:eastAsia="Arial" w:hAnsi="Arial" w:cs="Arial"/>
                <w:color w:val="002060"/>
              </w:rPr>
              <w:t>A judge seeks to balance the costs and benefits of a particular ruling, including its consequences and any concerns about the limits of judicial power and competence.</w:t>
            </w:r>
          </w:p>
        </w:tc>
      </w:tr>
      <w:tr w:rsidR="00B57695">
        <w:trPr>
          <w:trHeight w:val="873"/>
        </w:trPr>
        <w:tc>
          <w:tcPr>
            <w:tcW w:w="2106" w:type="dxa"/>
            <w:tcBorders>
              <w:top w:val="single" w:sz="12" w:space="0" w:color="00BCCA"/>
              <w:left w:val="single" w:sz="12" w:space="0" w:color="00BCCA"/>
              <w:bottom w:val="single" w:sz="12" w:space="0" w:color="00BCCA"/>
              <w:right w:val="single" w:sz="12" w:space="0" w:color="00BCCA"/>
            </w:tcBorders>
            <w:shd w:val="clear" w:color="auto" w:fill="F3F3F3"/>
            <w:tcMar>
              <w:top w:w="72" w:type="dxa"/>
              <w:left w:w="144" w:type="dxa"/>
              <w:bottom w:w="72" w:type="dxa"/>
              <w:right w:w="144" w:type="dxa"/>
            </w:tcMar>
            <w:vAlign w:val="center"/>
          </w:tcPr>
          <w:p w:rsidR="00B57695" w:rsidRDefault="004479CE">
            <w:pPr>
              <w:jc w:val="center"/>
              <w:rPr>
                <w:rFonts w:ascii="Arial" w:eastAsia="Arial" w:hAnsi="Arial" w:cs="Arial"/>
              </w:rPr>
            </w:pPr>
            <w:r>
              <w:rPr>
                <w:rFonts w:ascii="Arial" w:eastAsia="Arial" w:hAnsi="Arial" w:cs="Arial"/>
                <w:color w:val="002060"/>
              </w:rPr>
              <w:t>Natural Law/</w:t>
            </w:r>
            <w:r>
              <w:rPr>
                <w:rFonts w:ascii="Arial" w:eastAsia="Arial" w:hAnsi="Arial" w:cs="Arial"/>
                <w:color w:val="002060"/>
              </w:rPr>
              <w:br/>
              <w:t>Morality</w:t>
            </w:r>
          </w:p>
        </w:tc>
        <w:tc>
          <w:tcPr>
            <w:tcW w:w="7116" w:type="dxa"/>
            <w:tcBorders>
              <w:top w:val="single" w:sz="12" w:space="0" w:color="00BCCA"/>
              <w:left w:val="single" w:sz="12" w:space="0" w:color="00BCCA"/>
              <w:bottom w:val="single" w:sz="12" w:space="0" w:color="00BCCA"/>
              <w:right w:val="single" w:sz="12" w:space="0" w:color="00BCCA"/>
            </w:tcBorders>
            <w:tcMar>
              <w:top w:w="72" w:type="dxa"/>
              <w:left w:w="144" w:type="dxa"/>
              <w:bottom w:w="72" w:type="dxa"/>
              <w:right w:w="144" w:type="dxa"/>
            </w:tcMar>
            <w:vAlign w:val="center"/>
          </w:tcPr>
          <w:p w:rsidR="00B57695" w:rsidRDefault="004479CE">
            <w:pPr>
              <w:rPr>
                <w:rFonts w:ascii="Arial" w:eastAsia="Arial" w:hAnsi="Arial" w:cs="Arial"/>
              </w:rPr>
            </w:pPr>
            <w:r>
              <w:rPr>
                <w:rFonts w:ascii="Arial" w:eastAsia="Arial" w:hAnsi="Arial" w:cs="Arial"/>
                <w:color w:val="002060"/>
              </w:rPr>
              <w:t>A judge draws on principles of moral reasoning—whether embodied in the natural law tradition or drawn from a judge’s own independent, present-day moral judgments.</w:t>
            </w:r>
          </w:p>
        </w:tc>
      </w:tr>
    </w:tbl>
    <w:p w:rsidR="00B57695" w:rsidRDefault="00B57695">
      <w:pPr>
        <w:rPr>
          <w:rFonts w:ascii="Arial" w:eastAsia="Arial" w:hAnsi="Arial" w:cs="Arial"/>
        </w:rPr>
      </w:pPr>
    </w:p>
    <w:p w:rsidR="00B57695" w:rsidRDefault="00B57695">
      <w:pPr>
        <w:rPr>
          <w:rFonts w:ascii="Arial" w:eastAsia="Arial" w:hAnsi="Arial" w:cs="Arial"/>
        </w:rPr>
      </w:pPr>
    </w:p>
    <w:sectPr w:rsidR="00B5769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9CE" w:rsidRDefault="004479CE">
      <w:pPr>
        <w:spacing w:after="0" w:line="240" w:lineRule="auto"/>
      </w:pPr>
      <w:r>
        <w:separator/>
      </w:r>
    </w:p>
  </w:endnote>
  <w:endnote w:type="continuationSeparator" w:id="0">
    <w:p w:rsidR="004479CE" w:rsidRDefault="0044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695" w:rsidRDefault="004479CE">
    <w:pPr>
      <w:tabs>
        <w:tab w:val="left" w:pos="3305"/>
      </w:tabs>
      <w:spacing w:before="120" w:line="240" w:lineRule="auto"/>
      <w:jc w:val="center"/>
    </w:pPr>
    <w:r>
      <w:rPr>
        <w:rFonts w:ascii="Arial" w:eastAsia="Arial" w:hAnsi="Arial" w:cs="Arial"/>
        <w:b/>
        <w:noProof/>
        <w:color w:val="002169"/>
        <w:sz w:val="20"/>
        <w:szCs w:val="20"/>
      </w:rPr>
      <w:drawing>
        <wp:inline distT="114300" distB="114300" distL="114300" distR="114300">
          <wp:extent cx="2313637" cy="581099"/>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3637" cy="58109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9CE" w:rsidRDefault="004479CE">
      <w:pPr>
        <w:spacing w:after="0" w:line="240" w:lineRule="auto"/>
      </w:pPr>
      <w:r>
        <w:separator/>
      </w:r>
    </w:p>
  </w:footnote>
  <w:footnote w:type="continuationSeparator" w:id="0">
    <w:p w:rsidR="004479CE" w:rsidRDefault="00447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695" w:rsidRDefault="004479CE">
    <w:pPr>
      <w:spacing w:after="0" w:line="312" w:lineRule="auto"/>
      <w:rPr>
        <w:rFonts w:ascii="Arial" w:eastAsia="Arial" w:hAnsi="Arial" w:cs="Arial"/>
        <w:b/>
        <w:color w:val="002169"/>
        <w:vertAlign w:val="subscript"/>
      </w:rPr>
    </w:pPr>
    <w:r>
      <w:rPr>
        <w:rFonts w:ascii="Arial" w:eastAsia="Arial" w:hAnsi="Arial" w:cs="Arial"/>
        <w:b/>
        <w:color w:val="002169"/>
      </w:rPr>
      <w:t>CONSTITUTION 101</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164592</wp:posOffset>
              </wp:positionV>
              <wp:extent cx="3127248" cy="18839"/>
              <wp:effectExtent l="0" t="0" r="0" b="0"/>
              <wp:wrapNone/>
              <wp:docPr id="4" name="Straight Arrow Connector 4"/>
              <wp:cNvGraphicFramePr/>
              <a:graphic xmlns:a="http://schemas.openxmlformats.org/drawingml/2006/main">
                <a:graphicData uri="http://schemas.microsoft.com/office/word/2010/wordprocessingShape">
                  <wps:wsp>
                    <wps:cNvCnPr/>
                    <wps:spPr>
                      <a:xfrm>
                        <a:off x="3291494" y="3780000"/>
                        <a:ext cx="4109100" cy="0"/>
                      </a:xfrm>
                      <a:prstGeom prst="straightConnector1">
                        <a:avLst/>
                      </a:prstGeom>
                      <a:noFill/>
                      <a:ln w="25400" cap="flat" cmpd="sng">
                        <a:solidFill>
                          <a:srgbClr val="CA003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B57695" w:rsidRDefault="004479CE">
    <w:pPr>
      <w:spacing w:after="0" w:line="240" w:lineRule="auto"/>
      <w:rPr>
        <w:rFonts w:ascii="Arial" w:eastAsia="Arial" w:hAnsi="Arial" w:cs="Arial"/>
        <w:color w:val="002169"/>
      </w:rPr>
    </w:pPr>
    <w:r>
      <w:rPr>
        <w:rFonts w:ascii="Arial" w:eastAsia="Arial" w:hAnsi="Arial" w:cs="Arial"/>
        <w:color w:val="002169"/>
      </w:rPr>
      <w:t>Module 1: Constitutional Conversations and Civil Dialogue</w:t>
    </w:r>
  </w:p>
  <w:p w:rsidR="00B57695" w:rsidRDefault="004479CE">
    <w:pPr>
      <w:spacing w:after="0" w:line="240" w:lineRule="auto"/>
      <w:rPr>
        <w:rFonts w:ascii="Arial" w:eastAsia="Arial" w:hAnsi="Arial" w:cs="Arial"/>
        <w:color w:val="002169"/>
      </w:rPr>
    </w:pPr>
    <w:r>
      <w:rPr>
        <w:rFonts w:ascii="Arial" w:eastAsia="Arial" w:hAnsi="Arial" w:cs="Arial"/>
        <w:color w:val="002169"/>
      </w:rPr>
      <w:t>1.5 Info Brief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95"/>
    <w:rsid w:val="00245EF1"/>
    <w:rsid w:val="004479CE"/>
    <w:rsid w:val="00B5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C0A84-2EE7-45DE-942B-A42D72C5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C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472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47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2CB"/>
  </w:style>
  <w:style w:type="paragraph" w:styleId="Footer">
    <w:name w:val="footer"/>
    <w:basedOn w:val="Normal"/>
    <w:link w:val="FooterChar"/>
    <w:uiPriority w:val="99"/>
    <w:unhideWhenUsed/>
    <w:rsid w:val="00B47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2CB"/>
  </w:style>
  <w:style w:type="character" w:styleId="CommentReference">
    <w:name w:val="annotation reference"/>
    <w:basedOn w:val="DefaultParagraphFont"/>
    <w:uiPriority w:val="99"/>
    <w:semiHidden/>
    <w:unhideWhenUsed/>
    <w:rsid w:val="00B472CB"/>
    <w:rPr>
      <w:sz w:val="16"/>
      <w:szCs w:val="16"/>
    </w:rPr>
  </w:style>
  <w:style w:type="paragraph" w:styleId="CommentText">
    <w:name w:val="annotation text"/>
    <w:basedOn w:val="Normal"/>
    <w:link w:val="CommentTextChar"/>
    <w:uiPriority w:val="99"/>
    <w:semiHidden/>
    <w:unhideWhenUsed/>
    <w:rsid w:val="00B472CB"/>
    <w:pPr>
      <w:spacing w:line="240" w:lineRule="auto"/>
    </w:pPr>
    <w:rPr>
      <w:sz w:val="20"/>
      <w:szCs w:val="20"/>
    </w:rPr>
  </w:style>
  <w:style w:type="character" w:customStyle="1" w:styleId="CommentTextChar">
    <w:name w:val="Comment Text Char"/>
    <w:basedOn w:val="DefaultParagraphFont"/>
    <w:link w:val="CommentText"/>
    <w:uiPriority w:val="99"/>
    <w:semiHidden/>
    <w:rsid w:val="00B472CB"/>
    <w:rPr>
      <w:sz w:val="20"/>
      <w:szCs w:val="20"/>
    </w:rPr>
  </w:style>
  <w:style w:type="paragraph" w:styleId="CommentSubject">
    <w:name w:val="annotation subject"/>
    <w:basedOn w:val="CommentText"/>
    <w:next w:val="CommentText"/>
    <w:link w:val="CommentSubjectChar"/>
    <w:uiPriority w:val="99"/>
    <w:semiHidden/>
    <w:unhideWhenUsed/>
    <w:rsid w:val="00B472CB"/>
    <w:rPr>
      <w:b/>
      <w:bCs/>
    </w:rPr>
  </w:style>
  <w:style w:type="character" w:customStyle="1" w:styleId="CommentSubjectChar">
    <w:name w:val="Comment Subject Char"/>
    <w:basedOn w:val="CommentTextChar"/>
    <w:link w:val="CommentSubject"/>
    <w:uiPriority w:val="99"/>
    <w:semiHidden/>
    <w:rsid w:val="00B472CB"/>
    <w:rPr>
      <w:b/>
      <w:bCs/>
      <w:sz w:val="20"/>
      <w:szCs w:val="20"/>
    </w:rPr>
  </w:style>
  <w:style w:type="paragraph" w:styleId="BalloonText">
    <w:name w:val="Balloon Text"/>
    <w:basedOn w:val="Normal"/>
    <w:link w:val="BalloonTextChar"/>
    <w:uiPriority w:val="99"/>
    <w:semiHidden/>
    <w:unhideWhenUsed/>
    <w:rsid w:val="00B4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2CB"/>
    <w:rPr>
      <w:rFonts w:ascii="Segoe UI" w:hAnsi="Segoe UI" w:cs="Segoe UI"/>
      <w:sz w:val="18"/>
      <w:szCs w:val="18"/>
    </w:rPr>
  </w:style>
  <w:style w:type="character" w:styleId="Hyperlink">
    <w:name w:val="Hyperlink"/>
    <w:basedOn w:val="DefaultParagraphFont"/>
    <w:uiPriority w:val="99"/>
    <w:semiHidden/>
    <w:unhideWhenUsed/>
    <w:rsid w:val="003256A3"/>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29" w:type="dxa"/>
        <w:bottom w:w="29" w:type="dxa"/>
      </w:tblCellMar>
    </w:tbl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5MmTvUY2visyvUU088I327rPPQ==">AMUW2mUCWBDpwxQVkG7AoQsKwKYlr9DMu9FuVTIe8qhzSxGcpgblvwHlo8ZZxyvSz83JeJf3ZtVktKmk9qo39uK4/859pMJn5/37i6H/kIMxVNMpv4n8t5I=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National Constitution Center</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Winterle Kehres</dc:creator>
  <cp:lastModifiedBy>Jenna Winterle Kehres</cp:lastModifiedBy>
  <cp:revision>2</cp:revision>
  <dcterms:created xsi:type="dcterms:W3CDTF">2022-09-21T17:46:00Z</dcterms:created>
  <dcterms:modified xsi:type="dcterms:W3CDTF">2022-09-21T17:46:00Z</dcterms:modified>
</cp:coreProperties>
</file>